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E2B0" w14:textId="77777777" w:rsidR="00BA5342" w:rsidRDefault="00BA5342" w:rsidP="00BA5342">
      <w:pPr>
        <w:rPr>
          <w:rFonts w:ascii="Arial" w:hAnsi="Arial" w:cs="Arial"/>
        </w:rPr>
      </w:pPr>
    </w:p>
    <w:p w14:paraId="75CC3DBF" w14:textId="77777777" w:rsidR="00BA5342" w:rsidRDefault="00BA5342" w:rsidP="00BA5342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A6D84" wp14:editId="2B7827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666750"/>
            <wp:effectExtent l="0" t="0" r="0" b="0"/>
            <wp:wrapSquare wrapText="bothSides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eastAsia="Batang" w:hAnsi="Arial" w:cs="Arial"/>
          <w:sz w:val="72"/>
        </w:rPr>
        <w:t xml:space="preserve">Term </w:t>
      </w:r>
      <w:proofErr w:type="gramStart"/>
      <w:r>
        <w:rPr>
          <w:rFonts w:ascii="Arial" w:eastAsia="Batang" w:hAnsi="Arial" w:cs="Arial"/>
          <w:sz w:val="72"/>
        </w:rPr>
        <w:t>4 Overview</w:t>
      </w:r>
      <w:proofErr w:type="gramEnd"/>
    </w:p>
    <w:p w14:paraId="3769B0FD" w14:textId="77777777" w:rsidR="00BA5342" w:rsidRDefault="00890909" w:rsidP="00BA5342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>Year 6-7 – Miss Roberts</w:t>
      </w:r>
      <w:r>
        <w:rPr>
          <w:rFonts w:ascii="Arial" w:hAnsi="Arial" w:cs="Arial"/>
          <w:b/>
          <w:bCs/>
          <w:sz w:val="32"/>
          <w:szCs w:val="22"/>
        </w:rPr>
        <w:tab/>
      </w:r>
      <w:r>
        <w:rPr>
          <w:rFonts w:ascii="Arial" w:hAnsi="Arial" w:cs="Arial"/>
          <w:b/>
          <w:bCs/>
          <w:sz w:val="32"/>
          <w:szCs w:val="22"/>
        </w:rPr>
        <w:tab/>
      </w:r>
      <w:r>
        <w:rPr>
          <w:rFonts w:ascii="Arial" w:hAnsi="Arial" w:cs="Arial"/>
          <w:b/>
          <w:bCs/>
          <w:sz w:val="32"/>
          <w:szCs w:val="22"/>
        </w:rPr>
        <w:tab/>
      </w:r>
      <w:r>
        <w:rPr>
          <w:rFonts w:ascii="Arial" w:hAnsi="Arial" w:cs="Arial"/>
          <w:b/>
          <w:bCs/>
          <w:sz w:val="32"/>
          <w:szCs w:val="22"/>
        </w:rPr>
        <w:tab/>
      </w:r>
      <w:r w:rsidR="00BA5342">
        <w:rPr>
          <w:rFonts w:ascii="Arial" w:hAnsi="Arial" w:cs="Arial"/>
          <w:b/>
          <w:bCs/>
          <w:sz w:val="32"/>
          <w:szCs w:val="22"/>
        </w:rPr>
        <w:t xml:space="preserve">Room </w:t>
      </w:r>
      <w:r>
        <w:rPr>
          <w:rFonts w:ascii="Arial" w:hAnsi="Arial" w:cs="Arial"/>
          <w:b/>
          <w:bCs/>
          <w:sz w:val="32"/>
          <w:szCs w:val="22"/>
        </w:rPr>
        <w:t>2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072"/>
      </w:tblGrid>
      <w:tr w:rsidR="00BA5342" w14:paraId="69826ED3" w14:textId="77777777" w:rsidTr="00BA5342">
        <w:trPr>
          <w:trHeight w:val="3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343" w14:textId="77777777" w:rsidR="00BA5342" w:rsidRPr="00890909" w:rsidRDefault="00BA5342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smallCaps/>
                <w:szCs w:val="24"/>
              </w:rPr>
            </w:pPr>
            <w:r w:rsidRPr="00890909">
              <w:rPr>
                <w:rFonts w:ascii="Arial" w:hAnsi="Arial" w:cs="Arial"/>
                <w:b/>
                <w:smallCaps/>
                <w:szCs w:val="24"/>
              </w:rPr>
              <w:t>Subject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3ADF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890909">
              <w:rPr>
                <w:rFonts w:ascii="Arial" w:hAnsi="Arial" w:cs="Arial"/>
                <w:b/>
                <w:smallCaps/>
                <w:szCs w:val="24"/>
              </w:rPr>
              <w:t>Topics to be covered</w:t>
            </w:r>
          </w:p>
        </w:tc>
      </w:tr>
      <w:tr w:rsidR="00BA5342" w14:paraId="26A57EBF" w14:textId="77777777" w:rsidTr="00BA5342">
        <w:trPr>
          <w:trHeight w:val="10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17C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Humanities and Social Science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D0D" w14:textId="77777777" w:rsidR="00BA5342" w:rsidRPr="00890909" w:rsidRDefault="00BA5342" w:rsidP="0089090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 xml:space="preserve">Geography- </w:t>
            </w:r>
            <w:r w:rsidRPr="00890909">
              <w:rPr>
                <w:rFonts w:ascii="Arial" w:hAnsi="Arial" w:cs="Arial"/>
                <w:szCs w:val="24"/>
              </w:rPr>
              <w:t>Place and liveability</w:t>
            </w:r>
            <w:r w:rsidR="00890909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890909" w:rsidRPr="00890909">
              <w:rPr>
                <w:rFonts w:ascii="Arial" w:hAnsi="Arial" w:cs="Arial"/>
                <w:szCs w:val="24"/>
              </w:rPr>
              <w:t xml:space="preserve">Defining </w:t>
            </w:r>
            <w:r w:rsidR="00890909">
              <w:rPr>
                <w:rFonts w:ascii="Arial" w:hAnsi="Arial" w:cs="Arial"/>
                <w:szCs w:val="24"/>
              </w:rPr>
              <w:t xml:space="preserve">liveability and the </w:t>
            </w:r>
            <w:r w:rsidR="00890909" w:rsidRPr="00890909">
              <w:rPr>
                <w:rFonts w:ascii="Arial" w:hAnsi="Arial" w:cs="Arial"/>
                <w:szCs w:val="24"/>
              </w:rPr>
              <w:t>variables</w:t>
            </w:r>
            <w:r w:rsidR="00890909">
              <w:rPr>
                <w:rFonts w:ascii="Arial" w:hAnsi="Arial" w:cs="Arial"/>
                <w:szCs w:val="24"/>
              </w:rPr>
              <w:t xml:space="preserve"> that</w:t>
            </w:r>
            <w:r w:rsidR="00890909" w:rsidRPr="00890909">
              <w:rPr>
                <w:rFonts w:ascii="Arial" w:hAnsi="Arial" w:cs="Arial"/>
                <w:szCs w:val="24"/>
              </w:rPr>
              <w:t xml:space="preserve"> impact the level of liveability</w:t>
            </w:r>
            <w:r w:rsidR="00890909">
              <w:rPr>
                <w:rFonts w:ascii="Arial" w:hAnsi="Arial" w:cs="Arial"/>
                <w:szCs w:val="24"/>
              </w:rPr>
              <w:t xml:space="preserve"> of places</w:t>
            </w:r>
            <w:r w:rsidR="00890909" w:rsidRPr="00890909">
              <w:rPr>
                <w:rFonts w:ascii="Arial" w:hAnsi="Arial" w:cs="Arial"/>
                <w:szCs w:val="24"/>
              </w:rPr>
              <w:t xml:space="preserve"> </w:t>
            </w:r>
            <w:r w:rsidR="00890909">
              <w:rPr>
                <w:rFonts w:ascii="Arial" w:hAnsi="Arial" w:cs="Arial"/>
                <w:szCs w:val="24"/>
              </w:rPr>
              <w:t xml:space="preserve">around </w:t>
            </w:r>
            <w:r w:rsidR="00890909" w:rsidRPr="00890909">
              <w:rPr>
                <w:rFonts w:ascii="Arial" w:hAnsi="Arial" w:cs="Arial"/>
                <w:szCs w:val="24"/>
              </w:rPr>
              <w:t>the world.</w:t>
            </w:r>
          </w:p>
        </w:tc>
      </w:tr>
      <w:tr w:rsidR="00BA5342" w14:paraId="4E3492D5" w14:textId="77777777" w:rsidTr="00BA5342">
        <w:trPr>
          <w:trHeight w:val="7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2C1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 xml:space="preserve">Health </w:t>
            </w:r>
          </w:p>
          <w:p w14:paraId="24CE16E3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4F7" w14:textId="77777777" w:rsidR="00890909" w:rsidRPr="00890909" w:rsidRDefault="00890909">
            <w:pPr>
              <w:spacing w:line="276" w:lineRule="auto"/>
              <w:jc w:val="both"/>
              <w:rPr>
                <w:rFonts w:ascii="Arial" w:eastAsia="Batang" w:hAnsi="Arial" w:cs="Arial"/>
                <w:b/>
                <w:szCs w:val="24"/>
              </w:rPr>
            </w:pPr>
            <w:r w:rsidRPr="00890909">
              <w:rPr>
                <w:rFonts w:ascii="Arial" w:eastAsia="Batang" w:hAnsi="Arial" w:cs="Arial"/>
                <w:b/>
                <w:szCs w:val="24"/>
              </w:rPr>
              <w:t>Child Protection Curriculum</w:t>
            </w:r>
            <w:r>
              <w:rPr>
                <w:rFonts w:ascii="Arial" w:eastAsia="Batang" w:hAnsi="Arial" w:cs="Arial"/>
                <w:b/>
                <w:szCs w:val="24"/>
              </w:rPr>
              <w:t xml:space="preserve"> – </w:t>
            </w:r>
            <w:r w:rsidRPr="00890909">
              <w:rPr>
                <w:rFonts w:ascii="Arial" w:eastAsia="Batang" w:hAnsi="Arial" w:cs="Arial"/>
                <w:szCs w:val="24"/>
              </w:rPr>
              <w:t xml:space="preserve">Please be aware that as we move through </w:t>
            </w:r>
            <w:r>
              <w:rPr>
                <w:rFonts w:ascii="Arial" w:eastAsia="Batang" w:hAnsi="Arial" w:cs="Arial"/>
                <w:szCs w:val="24"/>
              </w:rPr>
              <w:t xml:space="preserve">elements of </w:t>
            </w:r>
            <w:r w:rsidRPr="00890909">
              <w:rPr>
                <w:rFonts w:ascii="Arial" w:eastAsia="Batang" w:hAnsi="Arial" w:cs="Arial"/>
                <w:szCs w:val="24"/>
              </w:rPr>
              <w:t xml:space="preserve">the CPC some students may ask </w:t>
            </w:r>
            <w:r>
              <w:rPr>
                <w:rFonts w:ascii="Arial" w:eastAsia="Batang" w:hAnsi="Arial" w:cs="Arial"/>
                <w:szCs w:val="24"/>
              </w:rPr>
              <w:t xml:space="preserve">follow up questions at home. Please contact me if you have any issues or questions. </w:t>
            </w:r>
          </w:p>
          <w:p w14:paraId="6506BAAE" w14:textId="77777777" w:rsidR="00BA5342" w:rsidRPr="00890909" w:rsidRDefault="00890909">
            <w:pPr>
              <w:spacing w:line="276" w:lineRule="auto"/>
              <w:jc w:val="both"/>
              <w:rPr>
                <w:rFonts w:ascii="Arial" w:eastAsia="Batang" w:hAnsi="Arial" w:cs="Arial"/>
                <w:b/>
                <w:szCs w:val="24"/>
              </w:rPr>
            </w:pPr>
            <w:r w:rsidRPr="00890909">
              <w:rPr>
                <w:rFonts w:ascii="Arial" w:eastAsia="Batang" w:hAnsi="Arial" w:cs="Arial"/>
                <w:b/>
                <w:szCs w:val="24"/>
              </w:rPr>
              <w:t>Drugs and Alcohol Education/ Wellbeing</w:t>
            </w:r>
          </w:p>
        </w:tc>
      </w:tr>
      <w:tr w:rsidR="00BA5342" w14:paraId="228E1F58" w14:textId="77777777" w:rsidTr="00BA5342">
        <w:trPr>
          <w:trHeight w:val="9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540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Mathematics</w:t>
            </w:r>
          </w:p>
          <w:p w14:paraId="43291A37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463" w14:textId="77777777" w:rsidR="00BA5342" w:rsidRPr="00890909" w:rsidRDefault="00BA5342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Measurement</w:t>
            </w:r>
            <w:r w:rsidRPr="00890909">
              <w:rPr>
                <w:rFonts w:ascii="Arial" w:hAnsi="Arial" w:cs="Arial"/>
                <w:szCs w:val="24"/>
              </w:rPr>
              <w:t>– perimeter, area, compound shapes, formulae, length conversions, mass and volume</w:t>
            </w:r>
          </w:p>
          <w:p w14:paraId="0E4C5CBB" w14:textId="77777777" w:rsidR="00BA5342" w:rsidRPr="00890909" w:rsidRDefault="00BA5342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Statistics and Probability</w:t>
            </w:r>
            <w:r w:rsidRPr="00890909">
              <w:rPr>
                <w:rFonts w:ascii="Arial" w:hAnsi="Arial" w:cs="Arial"/>
                <w:szCs w:val="24"/>
              </w:rPr>
              <w:t>- interpreting data, graphing, experimental and theoretical probability</w:t>
            </w:r>
          </w:p>
        </w:tc>
      </w:tr>
      <w:tr w:rsidR="00BA5342" w14:paraId="6C7367A9" w14:textId="77777777" w:rsidTr="00890909">
        <w:trPr>
          <w:trHeight w:val="10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94B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Science</w:t>
            </w:r>
          </w:p>
          <w:p w14:paraId="7B1DF02B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E3A" w14:textId="77777777" w:rsidR="00BA5342" w:rsidRPr="00890909" w:rsidRDefault="00BA5342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829F39C" w14:textId="77777777" w:rsidR="00BA5342" w:rsidRPr="00890909" w:rsidRDefault="00DD2DAF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Energy and Sustainability</w:t>
            </w:r>
            <w:r w:rsidR="00890909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890909" w:rsidRPr="00890909">
              <w:rPr>
                <w:rFonts w:ascii="Arial" w:hAnsi="Arial" w:cs="Arial"/>
                <w:szCs w:val="24"/>
              </w:rPr>
              <w:t>How energy is created and stored. Looking at the distribution of resources across the world (renewable and non-renewable)</w:t>
            </w:r>
          </w:p>
        </w:tc>
      </w:tr>
      <w:tr w:rsidR="00BA5342" w14:paraId="52ED34C3" w14:textId="77777777" w:rsidTr="00BA5342">
        <w:trPr>
          <w:trHeight w:val="8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CE2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English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3F86" w14:textId="77777777" w:rsidR="00890909" w:rsidRPr="00890909" w:rsidRDefault="00890909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>Oral Language –</w:t>
            </w:r>
            <w:r w:rsidRPr="00890909">
              <w:rPr>
                <w:rFonts w:ascii="Arial" w:hAnsi="Arial" w:cs="Arial"/>
                <w:szCs w:val="24"/>
              </w:rPr>
              <w:t xml:space="preserve"> Presentations</w:t>
            </w:r>
            <w:r w:rsidRPr="0089090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2C0E514" w14:textId="77777777" w:rsidR="00890909" w:rsidRPr="00890909" w:rsidRDefault="00890909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 xml:space="preserve">Writing – </w:t>
            </w:r>
            <w:r w:rsidRPr="00890909">
              <w:rPr>
                <w:rFonts w:ascii="Arial" w:hAnsi="Arial" w:cs="Arial"/>
                <w:szCs w:val="24"/>
              </w:rPr>
              <w:t xml:space="preserve">Poetry with </w:t>
            </w:r>
            <w:proofErr w:type="spellStart"/>
            <w:r w:rsidRPr="00890909">
              <w:rPr>
                <w:rFonts w:ascii="Arial" w:hAnsi="Arial" w:cs="Arial"/>
                <w:szCs w:val="24"/>
              </w:rPr>
              <w:t>SImone</w:t>
            </w:r>
            <w:proofErr w:type="spellEnd"/>
          </w:p>
          <w:p w14:paraId="5D20EB3C" w14:textId="77777777" w:rsidR="00BA5342" w:rsidRPr="00890909" w:rsidRDefault="00890909" w:rsidP="00890909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0909">
              <w:rPr>
                <w:rFonts w:ascii="Arial" w:hAnsi="Arial" w:cs="Arial"/>
                <w:b/>
                <w:szCs w:val="24"/>
              </w:rPr>
              <w:t xml:space="preserve">Reading – </w:t>
            </w:r>
            <w:r w:rsidRPr="00890909">
              <w:rPr>
                <w:rFonts w:ascii="Arial" w:hAnsi="Arial" w:cs="Arial"/>
                <w:szCs w:val="24"/>
              </w:rPr>
              <w:t>Comprehension Strategies continued, Reading assessments</w:t>
            </w:r>
          </w:p>
        </w:tc>
      </w:tr>
      <w:tr w:rsidR="00BA5342" w14:paraId="0D24768D" w14:textId="77777777" w:rsidTr="00BA5342">
        <w:trPr>
          <w:trHeight w:val="14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01E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PE</w:t>
            </w:r>
          </w:p>
          <w:p w14:paraId="41277297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890909">
              <w:rPr>
                <w:rFonts w:ascii="Arial" w:hAnsi="Arial" w:cs="Arial"/>
                <w:b/>
                <w:szCs w:val="24"/>
                <w:lang w:val="en-US"/>
              </w:rPr>
              <w:t>Mrs</w:t>
            </w:r>
            <w:proofErr w:type="spellEnd"/>
            <w:r w:rsidRPr="00890909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890909">
              <w:rPr>
                <w:rFonts w:ascii="Arial" w:hAnsi="Arial" w:cs="Arial"/>
                <w:b/>
                <w:szCs w:val="24"/>
                <w:lang w:val="en-US"/>
              </w:rPr>
              <w:t>Boothey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FB7" w14:textId="77777777" w:rsidR="00BA5342" w:rsidRPr="00890909" w:rsidRDefault="00890909" w:rsidP="00890909">
            <w:pPr>
              <w:rPr>
                <w:rFonts w:ascii="Arial" w:hAnsi="Arial" w:cs="Arial"/>
              </w:rPr>
            </w:pPr>
            <w:r w:rsidRPr="00890909">
              <w:rPr>
                <w:rFonts w:ascii="Arial" w:hAnsi="Arial" w:cs="Arial"/>
              </w:rPr>
              <w:t xml:space="preserve">In PE at the beginning of the term our focus will be how important fitness, posture, hand and eye coordination plays a part in the fundamental movement skill of hitting a small ball using a bat, this will be delivered through the medium of table tennis. </w:t>
            </w:r>
            <w:r>
              <w:rPr>
                <w:rFonts w:ascii="Arial" w:hAnsi="Arial" w:cs="Arial"/>
              </w:rPr>
              <w:t>I have</w:t>
            </w:r>
            <w:r w:rsidRPr="00890909">
              <w:rPr>
                <w:rFonts w:ascii="Arial" w:hAnsi="Arial" w:cs="Arial"/>
              </w:rPr>
              <w:t xml:space="preserve"> acquired a Sporting Sc</w:t>
            </w:r>
            <w:r>
              <w:rPr>
                <w:rFonts w:ascii="Arial" w:hAnsi="Arial" w:cs="Arial"/>
              </w:rPr>
              <w:t xml:space="preserve">hool </w:t>
            </w:r>
            <w:proofErr w:type="gramStart"/>
            <w:r>
              <w:rPr>
                <w:rFonts w:ascii="Arial" w:hAnsi="Arial" w:cs="Arial"/>
              </w:rPr>
              <w:t>grant which</w:t>
            </w:r>
            <w:proofErr w:type="gramEnd"/>
            <w:r>
              <w:rPr>
                <w:rFonts w:ascii="Arial" w:hAnsi="Arial" w:cs="Arial"/>
              </w:rPr>
              <w:t xml:space="preserve"> has enabled me</w:t>
            </w:r>
            <w:r w:rsidRPr="00890909">
              <w:rPr>
                <w:rFonts w:ascii="Arial" w:hAnsi="Arial" w:cs="Arial"/>
              </w:rPr>
              <w:t xml:space="preserve"> to purchase three outdoor table tennis tables, bats, balls, nets and four lessons of coaching. PE Week will be celebrated in Week 5 from the 12</w:t>
            </w:r>
            <w:r w:rsidRPr="00890909">
              <w:rPr>
                <w:rFonts w:ascii="Arial" w:hAnsi="Arial" w:cs="Arial"/>
                <w:vertAlign w:val="superscript"/>
              </w:rPr>
              <w:t>th</w:t>
            </w:r>
            <w:r w:rsidRPr="00890909">
              <w:rPr>
                <w:rFonts w:ascii="Arial" w:hAnsi="Arial" w:cs="Arial"/>
              </w:rPr>
              <w:t xml:space="preserve"> to 16</w:t>
            </w:r>
            <w:r w:rsidRPr="00890909">
              <w:rPr>
                <w:rFonts w:ascii="Arial" w:hAnsi="Arial" w:cs="Arial"/>
                <w:vertAlign w:val="superscript"/>
              </w:rPr>
              <w:t>th</w:t>
            </w:r>
            <w:r w:rsidRPr="00890909">
              <w:rPr>
                <w:rFonts w:ascii="Arial" w:hAnsi="Arial" w:cs="Arial"/>
              </w:rPr>
              <w:t xml:space="preserve"> November, one of the highlights will be the Adelaide 36ers coming to our school on Tuesday 13</w:t>
            </w:r>
            <w:r w:rsidRPr="00890909">
              <w:rPr>
                <w:rFonts w:ascii="Arial" w:hAnsi="Arial" w:cs="Arial"/>
                <w:vertAlign w:val="superscript"/>
              </w:rPr>
              <w:t>th</w:t>
            </w:r>
            <w:r w:rsidRPr="00890909">
              <w:rPr>
                <w:rFonts w:ascii="Arial" w:hAnsi="Arial" w:cs="Arial"/>
              </w:rPr>
              <w:t xml:space="preserve"> November. In week 6 all students will attend an annual incursion learning Tae Kwon Do with George England. </w:t>
            </w:r>
            <w:r>
              <w:rPr>
                <w:rFonts w:ascii="Arial" w:hAnsi="Arial" w:cs="Arial"/>
              </w:rPr>
              <w:t>I</w:t>
            </w:r>
            <w:r w:rsidRPr="00890909">
              <w:rPr>
                <w:rFonts w:ascii="Arial" w:hAnsi="Arial" w:cs="Arial"/>
              </w:rPr>
              <w:t xml:space="preserve"> will also run two weeks of gymnastics and </w:t>
            </w:r>
            <w:proofErr w:type="gramStart"/>
            <w:r w:rsidRPr="00890909">
              <w:rPr>
                <w:rFonts w:ascii="Arial" w:hAnsi="Arial" w:cs="Arial"/>
              </w:rPr>
              <w:t>circu</w:t>
            </w:r>
            <w:r>
              <w:rPr>
                <w:rFonts w:ascii="Arial" w:hAnsi="Arial" w:cs="Arial"/>
              </w:rPr>
              <w:t>it</w:t>
            </w:r>
            <w:r w:rsidRPr="00890909">
              <w:rPr>
                <w:rFonts w:ascii="Arial" w:hAnsi="Arial" w:cs="Arial"/>
              </w:rPr>
              <w:t>s,</w:t>
            </w:r>
            <w:proofErr w:type="gramEnd"/>
            <w:r w:rsidRPr="00890909">
              <w:rPr>
                <w:rFonts w:ascii="Arial" w:hAnsi="Arial" w:cs="Arial"/>
              </w:rPr>
              <w:t xml:space="preserve"> finishing off the year with the games classes have created over the year. A busy, fun filled program to end 2018</w:t>
            </w:r>
            <w:r>
              <w:rPr>
                <w:rFonts w:ascii="Arial" w:hAnsi="Arial" w:cs="Arial"/>
              </w:rPr>
              <w:t xml:space="preserve"> – Mrs Boothey</w:t>
            </w:r>
            <w:bookmarkStart w:id="0" w:name="_GoBack"/>
            <w:bookmarkEnd w:id="0"/>
          </w:p>
        </w:tc>
      </w:tr>
      <w:tr w:rsidR="00BA5342" w14:paraId="2C957B48" w14:textId="77777777" w:rsidTr="00BA5342">
        <w:trPr>
          <w:trHeight w:val="7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53F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Japanese</w:t>
            </w:r>
          </w:p>
          <w:p w14:paraId="430A0A4D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Oka Sensei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2B2" w14:textId="77777777" w:rsidR="00890909" w:rsidRDefault="00890909" w:rsidP="00890909">
            <w:pPr>
              <w:spacing w:after="200" w:line="276" w:lineRule="auto"/>
              <w:contextualSpacing/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</w:pPr>
            <w:r w:rsidRPr="00890909"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  <w:t>Japanese challenge (continued)• Hiragana • Reviews</w:t>
            </w:r>
            <w:r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  <w:t xml:space="preserve"> </w:t>
            </w:r>
          </w:p>
          <w:p w14:paraId="15EC37FE" w14:textId="77777777" w:rsidR="00890909" w:rsidRPr="00890909" w:rsidRDefault="00890909" w:rsidP="00890909">
            <w:pPr>
              <w:spacing w:after="200" w:line="276" w:lineRule="auto"/>
              <w:contextualSpacing/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</w:pPr>
            <w:r w:rsidRPr="00890909"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  <w:t>Origami craft is taught at all year levels throughout the year.</w:t>
            </w:r>
          </w:p>
          <w:p w14:paraId="222CD288" w14:textId="77777777" w:rsidR="00890909" w:rsidRPr="00890909" w:rsidRDefault="00890909">
            <w:pPr>
              <w:spacing w:after="200" w:line="276" w:lineRule="auto"/>
              <w:contextualSpacing/>
              <w:rPr>
                <w:rFonts w:ascii="Arial" w:eastAsiaTheme="minorEastAsia" w:hAnsi="Arial" w:cs="Arial"/>
                <w:szCs w:val="24"/>
                <w:lang w:val="en-US" w:eastAsia="ja-JP"/>
              </w:rPr>
            </w:pPr>
          </w:p>
        </w:tc>
      </w:tr>
      <w:tr w:rsidR="00BA5342" w14:paraId="6CD28C0D" w14:textId="77777777" w:rsidTr="00890909">
        <w:trPr>
          <w:trHeight w:val="12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4C1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Music</w:t>
            </w:r>
          </w:p>
          <w:p w14:paraId="1505AAE2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890909">
              <w:rPr>
                <w:rFonts w:ascii="Arial" w:hAnsi="Arial" w:cs="Arial"/>
                <w:b/>
                <w:szCs w:val="24"/>
                <w:lang w:val="en-US"/>
              </w:rPr>
              <w:t>Mrs</w:t>
            </w:r>
            <w:proofErr w:type="spellEnd"/>
            <w:r w:rsidRPr="00890909">
              <w:rPr>
                <w:rFonts w:ascii="Arial" w:hAnsi="Arial" w:cs="Arial"/>
                <w:b/>
                <w:szCs w:val="24"/>
                <w:lang w:val="en-US"/>
              </w:rPr>
              <w:t xml:space="preserve"> Woodlands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2DE" w14:textId="77777777" w:rsidR="00BA5342" w:rsidRPr="00890909" w:rsidRDefault="00890909">
            <w:pPr>
              <w:spacing w:after="160" w:line="276" w:lineRule="auto"/>
              <w:rPr>
                <w:rFonts w:ascii="Arial" w:hAnsi="Arial" w:cs="Arial"/>
                <w:color w:val="000000" w:themeColor="text1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  <w:t>In Term 4,</w:t>
            </w:r>
            <w:r w:rsidRPr="00890909">
              <w:rPr>
                <w:rFonts w:ascii="Arial" w:eastAsiaTheme="minorHAnsi" w:hAnsi="Arial" w:cs="Arial"/>
                <w:color w:val="191919"/>
                <w:szCs w:val="24"/>
                <w:lang w:val="en-US"/>
              </w:rPr>
              <w:t xml:space="preserve"> in addition to working on end of year concert items, all classes will be consolidating music and dance concepts covered during the year. Primary classes will have a focus on partner and group work with opportunities for students to demonstrate their understanding of musical ideas in their own compositions. </w:t>
            </w:r>
          </w:p>
        </w:tc>
      </w:tr>
      <w:tr w:rsidR="00BA5342" w14:paraId="5A6ABFD3" w14:textId="77777777" w:rsidTr="00890909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D1C5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Art</w:t>
            </w:r>
          </w:p>
          <w:p w14:paraId="7EA366ED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890909">
              <w:rPr>
                <w:rFonts w:ascii="Arial" w:hAnsi="Arial" w:cs="Arial"/>
                <w:b/>
                <w:szCs w:val="24"/>
                <w:lang w:val="en-US"/>
              </w:rPr>
              <w:t>Mr</w:t>
            </w:r>
            <w:proofErr w:type="spellEnd"/>
            <w:r w:rsidRPr="00890909">
              <w:rPr>
                <w:rFonts w:ascii="Arial" w:hAnsi="Arial" w:cs="Arial"/>
                <w:b/>
                <w:szCs w:val="24"/>
                <w:lang w:val="en-US"/>
              </w:rPr>
              <w:t xml:space="preserve"> Pluck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5AC" w14:textId="77777777" w:rsidR="00BA5342" w:rsidRPr="00890909" w:rsidRDefault="00890909" w:rsidP="00BA5342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890909">
              <w:rPr>
                <w:rFonts w:ascii="Arial" w:hAnsi="Arial" w:cs="Arial"/>
                <w:szCs w:val="24"/>
              </w:rPr>
              <w:t>Continuation of Project on World issues and Digital Art, Multicultural art forms around the world</w:t>
            </w:r>
          </w:p>
        </w:tc>
      </w:tr>
      <w:tr w:rsidR="00BA5342" w14:paraId="4996A8CA" w14:textId="77777777" w:rsidTr="00890909">
        <w:trPr>
          <w:trHeight w:val="9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69" w14:textId="77777777" w:rsidR="00BA5342" w:rsidRPr="00890909" w:rsidRDefault="00BA534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90909">
              <w:rPr>
                <w:rFonts w:ascii="Arial" w:hAnsi="Arial" w:cs="Arial"/>
                <w:b/>
                <w:szCs w:val="24"/>
                <w:lang w:val="en-US"/>
              </w:rPr>
              <w:t>Digital Technology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83A" w14:textId="77777777" w:rsidR="00BA5342" w:rsidRPr="00890909" w:rsidRDefault="00BA5342">
            <w:pPr>
              <w:spacing w:line="276" w:lineRule="auto"/>
              <w:rPr>
                <w:rFonts w:ascii="Arial" w:hAnsi="Arial" w:cs="Arial"/>
                <w:b/>
                <w:color w:val="000000"/>
                <w:szCs w:val="24"/>
                <w:lang w:val="en-US" w:eastAsia="en-AU"/>
              </w:rPr>
            </w:pPr>
            <w:proofErr w:type="spellStart"/>
            <w:r w:rsidRPr="00890909">
              <w:rPr>
                <w:rFonts w:ascii="Arial" w:hAnsi="Arial" w:cs="Arial"/>
                <w:b/>
                <w:color w:val="000000"/>
                <w:szCs w:val="24"/>
                <w:lang w:val="en-US" w:eastAsia="en-AU"/>
              </w:rPr>
              <w:t>Grok</w:t>
            </w:r>
            <w:proofErr w:type="spellEnd"/>
            <w:r w:rsidRPr="00890909">
              <w:rPr>
                <w:rFonts w:ascii="Arial" w:hAnsi="Arial" w:cs="Arial"/>
                <w:b/>
                <w:color w:val="000000"/>
                <w:szCs w:val="24"/>
                <w:lang w:val="en-US" w:eastAsia="en-AU"/>
              </w:rPr>
              <w:t xml:space="preserve"> learning modules</w:t>
            </w:r>
          </w:p>
          <w:p w14:paraId="7ABE962A" w14:textId="77777777" w:rsidR="00BA5342" w:rsidRPr="00890909" w:rsidRDefault="00BA5342" w:rsidP="00EC0E0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90909">
              <w:rPr>
                <w:rFonts w:ascii="Arial" w:hAnsi="Arial" w:cs="Arial"/>
                <w:color w:val="000000"/>
                <w:lang w:val="en-US"/>
              </w:rPr>
              <w:t xml:space="preserve">Coding, sequencing </w:t>
            </w:r>
          </w:p>
          <w:p w14:paraId="7C93B514" w14:textId="77777777" w:rsidR="00BA5342" w:rsidRPr="00890909" w:rsidRDefault="00BA5342" w:rsidP="00BA5342">
            <w:pPr>
              <w:pStyle w:val="ListParagraph"/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3D63635" w14:textId="77777777" w:rsidR="00BD3B57" w:rsidRDefault="00BD3B57"/>
    <w:sectPr w:rsidR="00BD3B57" w:rsidSect="00890909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3D4"/>
    <w:multiLevelType w:val="hybridMultilevel"/>
    <w:tmpl w:val="A0EE4A46"/>
    <w:lvl w:ilvl="0" w:tplc="867818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5B8F"/>
    <w:multiLevelType w:val="hybridMultilevel"/>
    <w:tmpl w:val="98AEC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42"/>
    <w:rsid w:val="00890909"/>
    <w:rsid w:val="00B212DA"/>
    <w:rsid w:val="00BA5342"/>
    <w:rsid w:val="00BD3B57"/>
    <w:rsid w:val="00BE26B2"/>
    <w:rsid w:val="00D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A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342"/>
    <w:rPr>
      <w:rFonts w:eastAsiaTheme="minorHAnsi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5342"/>
    <w:pPr>
      <w:ind w:left="720"/>
      <w:contextualSpacing/>
    </w:pPr>
    <w:rPr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342"/>
    <w:rPr>
      <w:rFonts w:eastAsiaTheme="minorHAnsi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5342"/>
    <w:pPr>
      <w:ind w:left="720"/>
      <w:contextualSpacing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 Light Gardens Primary</dc:creator>
  <cp:keywords/>
  <dc:description/>
  <cp:lastModifiedBy>Jessica Roberts</cp:lastModifiedBy>
  <cp:revision>3</cp:revision>
  <dcterms:created xsi:type="dcterms:W3CDTF">2018-10-22T04:59:00Z</dcterms:created>
  <dcterms:modified xsi:type="dcterms:W3CDTF">2018-10-28T04:10:00Z</dcterms:modified>
</cp:coreProperties>
</file>